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9458AA" w:rsidRPr="000B398B" w:rsidTr="009458AA">
        <w:trPr>
          <w:trHeight w:val="1418"/>
        </w:trPr>
        <w:tc>
          <w:tcPr>
            <w:tcW w:w="2012" w:type="pct"/>
          </w:tcPr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профессиональных образовательных организаций, подведомственных департаменту образования Белгородской области по должности «руководитель физического воспитания»</w:t>
      </w: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552"/>
        <w:gridCol w:w="1701"/>
        <w:gridCol w:w="1701"/>
        <w:gridCol w:w="2126"/>
        <w:gridCol w:w="1701"/>
        <w:gridCol w:w="1559"/>
      </w:tblGrid>
      <w:tr w:rsidR="009458AA" w:rsidRPr="006D37A6" w:rsidTr="009458AA">
        <w:tc>
          <w:tcPr>
            <w:tcW w:w="567" w:type="dxa"/>
            <w:vMerge w:val="restart"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788" w:type="dxa"/>
            <w:gridSpan w:val="5"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458AA" w:rsidRPr="000B398B" w:rsidTr="009458AA">
        <w:tc>
          <w:tcPr>
            <w:tcW w:w="567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9458AA" w:rsidRPr="006D37A6" w:rsidTr="009458AA">
        <w:trPr>
          <w:trHeight w:val="636"/>
        </w:trPr>
        <w:tc>
          <w:tcPr>
            <w:tcW w:w="15451" w:type="dxa"/>
            <w:gridSpan w:val="8"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4630F1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="004630F1">
              <w:rPr>
                <w:rStyle w:val="FontStyle38"/>
                <w:b/>
                <w:i/>
                <w:lang w:val="ru-RU"/>
              </w:rPr>
              <w:t xml:space="preserve"> 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Результативность учебной деятельности преподавателей физической культуры по итогам мониторинга ПОО  (не менее 2 лет) (по одному из видов образовательных программ (ППССЗ или ППКРС))</w:t>
            </w:r>
          </w:p>
          <w:p w:rsidR="009458AA" w:rsidRPr="000B398B" w:rsidRDefault="009458AA" w:rsidP="009458AA">
            <w:pPr>
              <w:ind w:right="-123"/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9458AA" w:rsidRPr="000B398B" w:rsidRDefault="009458AA" w:rsidP="009458AA">
            <w:pPr>
              <w:contextualSpacing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Справка директора ПОО (с показателями деятельности преподавателей  физической культуры)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программы подготовки специалистов среднего звена качество знаний ниже 40% 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квалифицированных рабочих (служащих) качество знаний ниже 20%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специалистов среднего звена качество знаний 40-49%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специалистов среднего звена качество знаний 50-59%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квалифицированных рабочих (служащих) качество знаний 30-39%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специалистов среднего звена качество знаний 60-69%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специалистов среднего звена качество знаний выше 70%</w:t>
            </w:r>
            <w:r w:rsidRPr="000B398B">
              <w:rPr>
                <w:lang w:val="ru-RU"/>
              </w:rPr>
              <w:br/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программы подготовки квалифицированных рабочих (служащих) качество знаний выше 50%</w:t>
            </w:r>
          </w:p>
        </w:tc>
      </w:tr>
      <w:tr w:rsidR="009458AA" w:rsidRPr="006D37A6" w:rsidTr="009458AA">
        <w:tc>
          <w:tcPr>
            <w:tcW w:w="15451" w:type="dxa"/>
            <w:gridSpan w:val="8"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</w:t>
            </w:r>
            <w:r w:rsidRPr="000B398B">
              <w:rPr>
                <w:b/>
                <w:lang w:val="ru-RU"/>
              </w:rPr>
              <w:lastRenderedPageBreak/>
              <w:t>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458AA" w:rsidRPr="006D37A6" w:rsidTr="009458AA">
        <w:trPr>
          <w:trHeight w:val="49"/>
        </w:trPr>
        <w:tc>
          <w:tcPr>
            <w:tcW w:w="15451" w:type="dxa"/>
            <w:gridSpan w:val="8"/>
          </w:tcPr>
          <w:p w:rsidR="009458AA" w:rsidRPr="000B398B" w:rsidRDefault="009458AA" w:rsidP="004630F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</w:t>
            </w:r>
          </w:p>
          <w:p w:rsidR="009458AA" w:rsidRPr="000B398B" w:rsidRDefault="009458AA" w:rsidP="004630F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9458AA" w:rsidRPr="006D37A6" w:rsidTr="009458AA">
        <w:trPr>
          <w:trHeight w:val="1390"/>
        </w:trPr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обучающихся ПОО в спортивных мероприятиях различных уровней 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организации (в случае, если на грамоте или дипломе победителя нет ФИО преподавателя), Приказы;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 или документы, подтверждающие результат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Отсутствуют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спортивных мероприятиях ПОО, участие в региональных, всероссийских международных мероприятиях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во всероссийских и международных мероприятиях</w:t>
            </w:r>
          </w:p>
        </w:tc>
      </w:tr>
      <w:tr w:rsidR="009458AA" w:rsidRPr="006D37A6" w:rsidTr="009458AA"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2х и более выступлений на региональном или всероссийском уровне +1 балл за каждое дополнительное, но не </w:t>
            </w:r>
            <w:r w:rsidRPr="00D20476">
              <w:rPr>
                <w:lang w:val="ru-RU"/>
              </w:rPr>
              <w:t>более 5 баллов</w:t>
            </w:r>
          </w:p>
        </w:tc>
      </w:tr>
      <w:tr w:rsidR="009458AA" w:rsidRPr="006D37A6" w:rsidTr="009458AA"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ПОО в научно-исследовательской, проектной деятельности по профилю преподаваемой дисциплины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</w:t>
            </w:r>
            <w:r w:rsidRPr="000B398B">
              <w:rPr>
                <w:lang w:val="ru-RU"/>
              </w:rPr>
              <w:lastRenderedPageBreak/>
              <w:t>обучающегося.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lastRenderedPageBreak/>
              <w:t>Не участвуют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во всероссийских и международных мероприятиях  (без учета  интернет-мероприятий)</w:t>
            </w:r>
          </w:p>
        </w:tc>
      </w:tr>
      <w:tr w:rsidR="009458AA" w:rsidRPr="006D37A6" w:rsidTr="009458AA"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ind w:right="-108"/>
              <w:contextualSpacing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9458AA">
            <w:pPr>
              <w:ind w:right="-108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победителя, </w:t>
            </w:r>
            <w:r w:rsidRPr="000B398B">
              <w:rPr>
                <w:lang w:val="ru-RU"/>
              </w:rPr>
              <w:lastRenderedPageBreak/>
              <w:t>призера +1 балл дополнительно (но не более 5 баллов) (без учета  интернет-мероприятий)</w:t>
            </w:r>
          </w:p>
        </w:tc>
      </w:tr>
      <w:tr w:rsidR="009458AA" w:rsidRPr="006D37A6" w:rsidTr="009458AA">
        <w:tc>
          <w:tcPr>
            <w:tcW w:w="15451" w:type="dxa"/>
            <w:gridSpan w:val="8"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458AA" w:rsidRPr="006D37A6" w:rsidTr="009458AA"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</w:pP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9458AA" w:rsidRPr="000B398B" w:rsidTr="009458AA"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</w:t>
            </w:r>
            <w:r w:rsidRPr="00D20476">
              <w:rPr>
                <w:lang w:val="ru-RU"/>
              </w:rPr>
              <w:t xml:space="preserve">каждую </w:t>
            </w:r>
            <w:r w:rsidRPr="00D20476">
              <w:t xml:space="preserve">(но не более </w:t>
            </w:r>
            <w:r w:rsidRPr="00D20476">
              <w:rPr>
                <w:lang w:val="ru-RU"/>
              </w:rPr>
              <w:t>3</w:t>
            </w:r>
            <w:r w:rsidRPr="00D20476">
              <w:t xml:space="preserve"> баллов)</w:t>
            </w:r>
          </w:p>
        </w:tc>
      </w:tr>
      <w:tr w:rsidR="009458AA" w:rsidRPr="000B398B" w:rsidTr="009458AA"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3544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ind w:right="-73"/>
              <w:contextualSpacing/>
              <w:jc w:val="both"/>
            </w:pPr>
            <w:r w:rsidRPr="000B398B">
              <w:t>Выступление на уровне ПОО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уровне ПОО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9458AA" w:rsidRPr="006D37A6" w:rsidTr="009458AA">
        <w:trPr>
          <w:trHeight w:val="1022"/>
        </w:trPr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3544" w:type="dxa"/>
            <w:vMerge/>
            <w:vAlign w:val="center"/>
          </w:tcPr>
          <w:p w:rsidR="009458AA" w:rsidRPr="000B398B" w:rsidRDefault="009458AA" w:rsidP="009458AA">
            <w:pPr>
              <w:shd w:val="clear" w:color="auto" w:fill="FFFFFF"/>
              <w:ind w:left="5"/>
              <w:contextualSpacing/>
            </w:pPr>
          </w:p>
        </w:tc>
        <w:tc>
          <w:tcPr>
            <w:tcW w:w="2552" w:type="dxa"/>
            <w:vMerge/>
            <w:vAlign w:val="center"/>
          </w:tcPr>
          <w:p w:rsidR="009458AA" w:rsidRPr="000B398B" w:rsidRDefault="009458AA" w:rsidP="009458AA">
            <w:pPr>
              <w:shd w:val="clear" w:color="auto" w:fill="FFFFFF"/>
              <w:ind w:left="5"/>
              <w:contextualSpacing/>
            </w:pPr>
          </w:p>
        </w:tc>
        <w:tc>
          <w:tcPr>
            <w:tcW w:w="1701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center"/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D20476">
              <w:rPr>
                <w:lang w:val="ru-RU"/>
              </w:rPr>
              <w:t>(не более 3 баллов)</w:t>
            </w:r>
          </w:p>
        </w:tc>
      </w:tr>
      <w:tr w:rsidR="009458AA" w:rsidRPr="000B398B" w:rsidTr="009458AA"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860856" w:rsidRDefault="009458AA" w:rsidP="00860856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 xml:space="preserve">Приказ об утверждении команды </w:t>
            </w:r>
            <w:r w:rsidRPr="000B398B">
              <w:rPr>
                <w:lang w:val="ru-RU"/>
              </w:rPr>
              <w:lastRenderedPageBreak/>
              <w:t>проекта.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458AA" w:rsidRPr="006D37A6" w:rsidTr="009458AA"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D20476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458AA" w:rsidRPr="000B398B" w:rsidTr="009458AA"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458AA" w:rsidRPr="006D37A6" w:rsidTr="009458AA"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9458AA" w:rsidRPr="000B398B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</w:tcPr>
          <w:p w:rsidR="009458AA" w:rsidRPr="000B398B" w:rsidRDefault="009458AA" w:rsidP="009458AA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опыта, материалов из опыта работы</w:t>
            </w:r>
          </w:p>
          <w:p w:rsidR="009458AA" w:rsidRPr="000B398B" w:rsidRDefault="009458AA" w:rsidP="009458AA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ПОО 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</w:t>
            </w:r>
          </w:p>
        </w:tc>
      </w:tr>
      <w:tr w:rsidR="009458AA" w:rsidRPr="006D37A6" w:rsidTr="009458AA"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9458AA" w:rsidRPr="006D37A6" w:rsidTr="009458AA"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0B398B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9458AA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</w:tcPr>
          <w:p w:rsidR="009458AA" w:rsidRPr="000B398B" w:rsidRDefault="009458AA" w:rsidP="009458AA">
            <w:pPr>
              <w:shd w:val="clear" w:color="auto" w:fill="FFFFFF"/>
              <w:ind w:left="5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работы по физическому развитию обучающихся ПОО </w:t>
            </w:r>
          </w:p>
        </w:tc>
        <w:tc>
          <w:tcPr>
            <w:tcW w:w="2552" w:type="dxa"/>
          </w:tcPr>
          <w:p w:rsidR="009458AA" w:rsidRPr="000B398B" w:rsidRDefault="009458AA" w:rsidP="009458AA">
            <w:pPr>
              <w:shd w:val="clear" w:color="auto" w:fill="FFFFFF"/>
              <w:ind w:left="5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 мониторинга физического развития обучающихся ПОО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Мониторинг не ведётся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Мониторинг ведется, но результаты не анализируются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Мониторинг ведется,  результаты имеют стабильную динамику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Мониторинг ведется,  результаты имеют положительную динамику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</w:tr>
      <w:tr w:rsidR="009458AA" w:rsidRPr="006D37A6" w:rsidTr="009458AA">
        <w:tc>
          <w:tcPr>
            <w:tcW w:w="567" w:type="dxa"/>
            <w:vMerge w:val="restart"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Профессиональная активность педагога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мероприятий. </w:t>
            </w:r>
            <w:r w:rsidRPr="000B398B">
              <w:t>Руководство первичной профсоюзной организацией</w:t>
            </w:r>
          </w:p>
        </w:tc>
        <w:tc>
          <w:tcPr>
            <w:tcW w:w="2552" w:type="dxa"/>
            <w:vMerge w:val="restart"/>
          </w:tcPr>
          <w:p w:rsidR="009458AA" w:rsidRPr="000B398B" w:rsidRDefault="009458AA" w:rsidP="009458AA">
            <w:pPr>
              <w:contextualSpacing/>
            </w:pPr>
            <w:r w:rsidRPr="000B398B">
              <w:t xml:space="preserve">Приказы, </w:t>
            </w:r>
          </w:p>
          <w:p w:rsidR="009458AA" w:rsidRPr="000B398B" w:rsidRDefault="009458AA" w:rsidP="009458AA">
            <w:pPr>
              <w:contextualSpacing/>
            </w:pPr>
            <w:r w:rsidRPr="000B398B">
              <w:t>сертификаты, свидетельства</w:t>
            </w:r>
          </w:p>
          <w:p w:rsidR="009458AA" w:rsidRPr="000B398B" w:rsidRDefault="009458AA" w:rsidP="009458AA">
            <w:pPr>
              <w:contextualSpacing/>
            </w:pPr>
          </w:p>
          <w:p w:rsidR="009458AA" w:rsidRPr="000B398B" w:rsidRDefault="009458AA" w:rsidP="009458AA">
            <w:pPr>
              <w:contextualSpacing/>
            </w:pP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Не участвует</w:t>
            </w:r>
          </w:p>
        </w:tc>
        <w:tc>
          <w:tcPr>
            <w:tcW w:w="1701" w:type="dxa"/>
            <w:vMerge w:val="restart"/>
          </w:tcPr>
          <w:p w:rsidR="009458AA" w:rsidRPr="000B398B" w:rsidRDefault="009458AA" w:rsidP="009458AA">
            <w:pPr>
              <w:contextualSpacing/>
            </w:pPr>
            <w:r w:rsidRPr="000B398B">
              <w:t>На уровне ПОО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</w:pPr>
            <w:r w:rsidRPr="000B398B">
              <w:t>На муниципальном уровне</w:t>
            </w:r>
          </w:p>
          <w:p w:rsidR="009458AA" w:rsidRPr="000B398B" w:rsidRDefault="009458AA" w:rsidP="009458AA">
            <w:pPr>
              <w:contextualSpacing/>
            </w:pP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</w:pPr>
            <w:r w:rsidRPr="000B398B">
              <w:t>На региональном уровне</w:t>
            </w:r>
          </w:p>
          <w:p w:rsidR="009458AA" w:rsidRPr="000B398B" w:rsidRDefault="009458AA" w:rsidP="009458AA">
            <w:pPr>
              <w:contextualSpacing/>
            </w:pPr>
          </w:p>
          <w:p w:rsidR="009458AA" w:rsidRPr="000B398B" w:rsidRDefault="009458AA" w:rsidP="009458AA">
            <w:pPr>
              <w:contextualSpacing/>
            </w:pP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9458AA" w:rsidRPr="006D37A6" w:rsidTr="009458AA">
        <w:tc>
          <w:tcPr>
            <w:tcW w:w="567" w:type="dxa"/>
            <w:vMerge/>
          </w:tcPr>
          <w:p w:rsidR="009458AA" w:rsidRPr="000B398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0B398B" w:rsidRDefault="009458AA" w:rsidP="009458AA">
            <w:pPr>
              <w:shd w:val="clear" w:color="auto" w:fill="FFFFFF"/>
              <w:ind w:left="5"/>
              <w:contextualSpacing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0B398B" w:rsidRDefault="009458AA" w:rsidP="009458AA">
            <w:pPr>
              <w:shd w:val="clear" w:color="auto" w:fill="FFFFFF"/>
              <w:ind w:left="5"/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0B398B" w:rsidRDefault="009458AA" w:rsidP="009458AA">
            <w:pPr>
              <w:ind w:right="-26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</w:t>
            </w:r>
            <w:r w:rsidRPr="00D20476">
              <w:rPr>
                <w:lang w:val="ru-RU"/>
              </w:rPr>
              <w:t>(но не более 5 баллов).</w:t>
            </w:r>
          </w:p>
        </w:tc>
      </w:tr>
      <w:tr w:rsidR="009458AA" w:rsidRPr="006D37A6" w:rsidTr="009458AA">
        <w:tc>
          <w:tcPr>
            <w:tcW w:w="15451" w:type="dxa"/>
            <w:gridSpan w:val="8"/>
          </w:tcPr>
          <w:p w:rsidR="009458AA" w:rsidRPr="000B398B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программно-методического сопровождения образовательного процесса, профессиональных конкурсах)</w:t>
            </w: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ind w:left="360" w:hanging="326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12</w:t>
            </w:r>
          </w:p>
        </w:tc>
        <w:tc>
          <w:tcPr>
            <w:tcW w:w="3544" w:type="dxa"/>
          </w:tcPr>
          <w:p w:rsidR="009458AA" w:rsidRPr="000B398B" w:rsidRDefault="009458AA" w:rsidP="009458AA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</w:t>
            </w:r>
            <w:r w:rsidRPr="004630F1">
              <w:rPr>
                <w:sz w:val="24"/>
                <w:szCs w:val="24"/>
                <w:lang w:val="ru-RU"/>
              </w:rPr>
              <w:t xml:space="preserve"> в межаттестационный период.</w:t>
            </w:r>
          </w:p>
        </w:tc>
        <w:tc>
          <w:tcPr>
            <w:tcW w:w="2552" w:type="dxa"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</w:tcPr>
          <w:p w:rsidR="009458AA" w:rsidRPr="000B398B" w:rsidRDefault="009458AA" w:rsidP="009458AA">
            <w:r w:rsidRPr="000B398B">
              <w:t>Не участвует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ind w:left="360" w:hanging="326"/>
              <w:contextualSpacing/>
            </w:pPr>
            <w:r w:rsidRPr="000B398B">
              <w:t>1</w:t>
            </w:r>
            <w:r w:rsidRPr="000B398B">
              <w:rPr>
                <w:lang w:val="ru-RU"/>
              </w:rPr>
              <w:t>3</w:t>
            </w:r>
            <w:r w:rsidRPr="000B398B">
              <w:t>.</w:t>
            </w:r>
          </w:p>
        </w:tc>
        <w:tc>
          <w:tcPr>
            <w:tcW w:w="3544" w:type="dxa"/>
          </w:tcPr>
          <w:p w:rsidR="009458AA" w:rsidRPr="000B398B" w:rsidRDefault="009458AA" w:rsidP="009458AA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методические рекомендации по выполнению практических работ, фондов оценочных средств, дидактического материала, методических разработок занятий, внеурочных мероприятий по преподаваемым дисциплинам)</w:t>
            </w:r>
          </w:p>
          <w:p w:rsidR="009458AA" w:rsidRPr="000B398B" w:rsidRDefault="009458AA" w:rsidP="009458AA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- методические пособия, практикумы, рекомендации,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рабочие тетради и т.д.)</w:t>
            </w:r>
          </w:p>
        </w:tc>
        <w:tc>
          <w:tcPr>
            <w:tcW w:w="2552" w:type="dxa"/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>Титульный лист, рецензия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</w:pPr>
            <w:r w:rsidRPr="000B398B">
              <w:t>Не участвует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 xml:space="preserve">МО 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</w:pP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учебно-методических материалов имеет рецензию муниципального уровня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учебно-методических материалов имеет рецензию областного уровня</w:t>
            </w: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ind w:left="360" w:hanging="326"/>
              <w:contextualSpacing/>
            </w:pPr>
            <w:r w:rsidRPr="000B398B">
              <w:lastRenderedPageBreak/>
              <w:t>1</w:t>
            </w:r>
            <w:r w:rsidRPr="000B398B">
              <w:rPr>
                <w:lang w:val="ru-RU"/>
              </w:rPr>
              <w:t>4</w:t>
            </w:r>
            <w:r w:rsidRPr="000B398B">
              <w:t>.</w:t>
            </w:r>
          </w:p>
        </w:tc>
        <w:tc>
          <w:tcPr>
            <w:tcW w:w="3544" w:type="dxa"/>
          </w:tcPr>
          <w:p w:rsidR="009458AA" w:rsidRPr="000B398B" w:rsidRDefault="00BC7152" w:rsidP="009458AA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>
              <w:rPr>
                <w:lang w:val="ru-RU"/>
              </w:rPr>
              <w:t xml:space="preserve"> </w:t>
            </w:r>
            <w:r w:rsidRPr="000B398B">
              <w:rPr>
                <w:lang w:val="ru-RU"/>
              </w:rPr>
              <w:t xml:space="preserve">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 xml:space="preserve">», </w:t>
            </w:r>
            <w:r w:rsidRPr="000B398B">
              <w:rPr>
                <w:lang w:val="ru-RU"/>
              </w:rPr>
              <w:t>в 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2552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Скриншот размещенного материала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</w:pPr>
            <w:r w:rsidRPr="000B398B">
              <w:t>Отсутствуют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ind w:left="360" w:hanging="360"/>
              <w:contextualSpacing/>
            </w:pPr>
            <w:r w:rsidRPr="000B398B">
              <w:t>1</w:t>
            </w:r>
            <w:r w:rsidRPr="000B398B">
              <w:rPr>
                <w:lang w:val="ru-RU"/>
              </w:rPr>
              <w:t>5</w:t>
            </w:r>
            <w:r w:rsidRPr="000B398B">
              <w:t>.</w:t>
            </w:r>
          </w:p>
        </w:tc>
        <w:tc>
          <w:tcPr>
            <w:tcW w:w="3544" w:type="dxa"/>
          </w:tcPr>
          <w:p w:rsidR="009458AA" w:rsidRPr="000B398B" w:rsidRDefault="009458AA" w:rsidP="009458AA">
            <w:pPr>
              <w:pStyle w:val="21"/>
              <w:spacing w:after="0" w:line="240" w:lineRule="auto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552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  участие в очных конкурсах муниципального, регионального и всероссийского уровней.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 муниципальных профессиональных конкурсов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ind w:left="360" w:hanging="360"/>
              <w:contextualSpacing/>
            </w:pPr>
            <w:r w:rsidRPr="000B398B">
              <w:t>1</w:t>
            </w:r>
            <w:r w:rsidRPr="000B398B">
              <w:rPr>
                <w:lang w:val="ru-RU"/>
              </w:rPr>
              <w:t>6</w:t>
            </w:r>
            <w:r w:rsidRPr="000B398B">
              <w:t>.</w:t>
            </w:r>
          </w:p>
        </w:tc>
        <w:tc>
          <w:tcPr>
            <w:tcW w:w="3544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достижений педагога (поощрения за подготовку обучающихся и проведение заочных конкурсов </w:t>
            </w:r>
            <w:r w:rsidRPr="000B398B">
              <w:rPr>
                <w:lang w:val="ru-RU"/>
              </w:rPr>
              <w:lastRenderedPageBreak/>
              <w:t>на уровне ОУ не учитываются).</w:t>
            </w:r>
          </w:p>
        </w:tc>
        <w:tc>
          <w:tcPr>
            <w:tcW w:w="2552" w:type="dxa"/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</w:pPr>
            <w:r w:rsidRPr="000B398B">
              <w:t>Отсутствуют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уровня учреждения в межаттестационный </w:t>
            </w:r>
            <w:r w:rsidRPr="000B398B">
              <w:rPr>
                <w:lang w:val="ru-RU"/>
              </w:rPr>
              <w:lastRenderedPageBreak/>
              <w:t>период.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Поощрения муниципального уровня в межаттестацион-ный период.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всероссийского  или регионального уровня в </w:t>
            </w:r>
            <w:r w:rsidRPr="000B398B">
              <w:rPr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всероссийского уровня, отраслевые награды </w:t>
            </w:r>
            <w:r w:rsidRPr="000B398B">
              <w:rPr>
                <w:lang w:val="ru-RU"/>
              </w:rPr>
              <w:lastRenderedPageBreak/>
              <w:t>(независимо от срока).</w:t>
            </w:r>
          </w:p>
        </w:tc>
      </w:tr>
      <w:tr w:rsidR="009458AA" w:rsidRPr="006D37A6" w:rsidTr="009458AA">
        <w:tc>
          <w:tcPr>
            <w:tcW w:w="567" w:type="dxa"/>
          </w:tcPr>
          <w:p w:rsidR="009458AA" w:rsidRPr="000B398B" w:rsidRDefault="009458AA" w:rsidP="009458AA">
            <w:pPr>
              <w:ind w:left="360" w:hanging="360"/>
              <w:contextualSpacing/>
            </w:pPr>
            <w:r w:rsidRPr="000B398B">
              <w:lastRenderedPageBreak/>
              <w:t>1</w:t>
            </w:r>
            <w:r w:rsidRPr="000B398B">
              <w:rPr>
                <w:lang w:val="ru-RU"/>
              </w:rPr>
              <w:t>7</w:t>
            </w:r>
            <w:r w:rsidRPr="000B398B">
              <w:t>.</w:t>
            </w:r>
          </w:p>
        </w:tc>
        <w:tc>
          <w:tcPr>
            <w:tcW w:w="3544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Результативность деятельности аттестуемого по организации работы по сдаче норм комплекса ГТО</w:t>
            </w:r>
          </w:p>
        </w:tc>
        <w:tc>
          <w:tcPr>
            <w:tcW w:w="2552" w:type="dxa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Приказы Министерства спорта Российской Федерации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</w:pPr>
            <w:r w:rsidRPr="000B398B">
              <w:t>Отсутствуют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Более 20 % обучающихся имеют значки ГТО</w:t>
            </w:r>
          </w:p>
        </w:tc>
        <w:tc>
          <w:tcPr>
            <w:tcW w:w="2126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Более 30 % обучающихся имеют значки ГТО</w:t>
            </w:r>
          </w:p>
        </w:tc>
        <w:tc>
          <w:tcPr>
            <w:tcW w:w="1701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Более 40 % обучающихся имеют значки ГТО</w:t>
            </w:r>
          </w:p>
        </w:tc>
        <w:tc>
          <w:tcPr>
            <w:tcW w:w="1559" w:type="dxa"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Более 50 % обучающихся имеют значки ГТО</w:t>
            </w:r>
          </w:p>
        </w:tc>
      </w:tr>
    </w:tbl>
    <w:p w:rsidR="009458AA" w:rsidRPr="000B398B" w:rsidRDefault="009458AA" w:rsidP="009458AA">
      <w:pPr>
        <w:jc w:val="center"/>
        <w:rPr>
          <w:b/>
          <w:lang w:val="ru-RU"/>
        </w:rPr>
      </w:pPr>
    </w:p>
    <w:p w:rsidR="009458AA" w:rsidRPr="000B398B" w:rsidRDefault="009458AA" w:rsidP="009458AA">
      <w:pPr>
        <w:contextualSpacing/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9458AA" w:rsidRPr="000B398B" w:rsidRDefault="009458AA" w:rsidP="009458AA">
      <w:pPr>
        <w:contextualSpacing/>
        <w:jc w:val="center"/>
        <w:rPr>
          <w:lang w:val="ru-RU"/>
        </w:rPr>
      </w:pPr>
      <w:r w:rsidRPr="000B398B">
        <w:rPr>
          <w:lang w:val="ru-RU"/>
        </w:rPr>
        <w:t>- от 50 баллов и выше – уровень высшей квалификационной категории;</w:t>
      </w:r>
    </w:p>
    <w:p w:rsidR="009458AA" w:rsidRPr="000B398B" w:rsidRDefault="009458AA" w:rsidP="009458AA">
      <w:pPr>
        <w:contextualSpacing/>
        <w:jc w:val="center"/>
        <w:rPr>
          <w:lang w:val="ru-RU"/>
        </w:rPr>
      </w:pPr>
      <w:r w:rsidRPr="000B398B">
        <w:rPr>
          <w:lang w:val="ru-RU"/>
        </w:rPr>
        <w:t>- от 40 до 49 баллов – уровень первой квалификационной категории;</w:t>
      </w:r>
    </w:p>
    <w:p w:rsidR="0058007E" w:rsidRPr="000B398B" w:rsidRDefault="009458AA" w:rsidP="009458AA">
      <w:pPr>
        <w:contextualSpacing/>
        <w:jc w:val="center"/>
        <w:rPr>
          <w:lang w:val="ru-RU"/>
        </w:rPr>
      </w:pPr>
      <w:r w:rsidRPr="000B398B">
        <w:rPr>
          <w:lang w:val="ru-RU"/>
        </w:rPr>
        <w:t>- ниже 40 баллов – уровень, недостаточный для аттестации на квалификационную категорию.</w:t>
      </w:r>
    </w:p>
    <w:p w:rsidR="0058007E" w:rsidRPr="000B398B" w:rsidRDefault="0058007E" w:rsidP="0058007E">
      <w:pPr>
        <w:rPr>
          <w:lang w:val="ru-RU"/>
        </w:rPr>
      </w:pPr>
    </w:p>
    <w:sectPr w:rsidR="0058007E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CA" w:rsidRDefault="000478CA" w:rsidP="00CA1722">
      <w:r>
        <w:separator/>
      </w:r>
    </w:p>
  </w:endnote>
  <w:endnote w:type="continuationSeparator" w:id="1">
    <w:p w:rsidR="000478CA" w:rsidRDefault="000478CA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CA" w:rsidRDefault="000478CA" w:rsidP="00CA1722">
      <w:r>
        <w:separator/>
      </w:r>
    </w:p>
  </w:footnote>
  <w:footnote w:type="continuationSeparator" w:id="1">
    <w:p w:rsidR="000478CA" w:rsidRDefault="000478CA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8CA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7A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2CF5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matvienko</cp:lastModifiedBy>
  <cp:revision>2</cp:revision>
  <cp:lastPrinted>2020-07-24T07:10:00Z</cp:lastPrinted>
  <dcterms:created xsi:type="dcterms:W3CDTF">2021-07-20T13:27:00Z</dcterms:created>
  <dcterms:modified xsi:type="dcterms:W3CDTF">2021-07-20T13:27:00Z</dcterms:modified>
</cp:coreProperties>
</file>