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58007E" w:rsidRPr="000B398B" w:rsidTr="00DD25F4">
        <w:trPr>
          <w:trHeight w:val="1418"/>
        </w:trPr>
        <w:tc>
          <w:tcPr>
            <w:tcW w:w="2012" w:type="pct"/>
          </w:tcPr>
          <w:p w:rsidR="0058007E" w:rsidRPr="000B398B" w:rsidRDefault="0058007E" w:rsidP="00DD2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58007E" w:rsidRPr="000B398B" w:rsidRDefault="0058007E" w:rsidP="00DD25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8007E" w:rsidRPr="000B398B" w:rsidRDefault="0058007E" w:rsidP="00DD25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8007E" w:rsidRPr="000B398B" w:rsidRDefault="0058007E" w:rsidP="00DD25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8007E" w:rsidRPr="000B398B" w:rsidRDefault="0058007E" w:rsidP="00DD25F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58007E" w:rsidRPr="000B398B" w:rsidRDefault="0058007E" w:rsidP="0058007E">
      <w:pPr>
        <w:pStyle w:val="a3"/>
        <w:rPr>
          <w:b/>
          <w:sz w:val="24"/>
          <w:szCs w:val="24"/>
          <w:lang w:val="ru-RU"/>
        </w:rPr>
      </w:pPr>
    </w:p>
    <w:p w:rsidR="0058007E" w:rsidRPr="000B398B" w:rsidRDefault="0058007E" w:rsidP="0058007E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58007E" w:rsidRPr="000B398B" w:rsidRDefault="0058007E" w:rsidP="0058007E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профессиональных образовательных организаций, подведомственных департаменту образования Белгородской области по должности «социальный педагог»</w:t>
      </w:r>
    </w:p>
    <w:p w:rsidR="0058007E" w:rsidRPr="000B398B" w:rsidRDefault="0058007E" w:rsidP="0058007E">
      <w:pPr>
        <w:rPr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24"/>
        <w:gridCol w:w="2410"/>
        <w:gridCol w:w="1695"/>
        <w:gridCol w:w="6"/>
        <w:gridCol w:w="1657"/>
        <w:gridCol w:w="22"/>
        <w:gridCol w:w="16"/>
        <w:gridCol w:w="1850"/>
        <w:gridCol w:w="1701"/>
        <w:gridCol w:w="2403"/>
      </w:tblGrid>
      <w:tr w:rsidR="005C3E88" w:rsidRPr="008F435A" w:rsidTr="005C3E88">
        <w:trPr>
          <w:trHeight w:val="30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E88" w:rsidRPr="000B398B" w:rsidRDefault="005C3E88" w:rsidP="00DD25F4">
            <w:pPr>
              <w:suppressAutoHyphens/>
              <w:contextualSpacing/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1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E88" w:rsidRPr="000B398B" w:rsidRDefault="005C3E88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E88" w:rsidRPr="000B398B" w:rsidRDefault="005C3E88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 xml:space="preserve">Подтверждающие </w:t>
            </w:r>
          </w:p>
          <w:p w:rsidR="005C3E88" w:rsidRPr="000B398B" w:rsidRDefault="005C3E88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документы</w:t>
            </w:r>
          </w:p>
        </w:tc>
        <w:tc>
          <w:tcPr>
            <w:tcW w:w="9350" w:type="dxa"/>
            <w:gridSpan w:val="8"/>
            <w:shd w:val="clear" w:color="auto" w:fill="auto"/>
          </w:tcPr>
          <w:p w:rsidR="005C3E88" w:rsidRPr="000B398B" w:rsidRDefault="005C3E88" w:rsidP="00DD25F4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 по каждому критерию</w:t>
            </w:r>
          </w:p>
        </w:tc>
      </w:tr>
      <w:tr w:rsidR="0058007E" w:rsidRPr="000B398B" w:rsidTr="0058007E">
        <w:trPr>
          <w:trHeight w:val="121"/>
        </w:trPr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b/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58007E" w:rsidRPr="008F435A" w:rsidTr="0058007E">
        <w:trPr>
          <w:trHeight w:val="315"/>
        </w:trPr>
        <w:tc>
          <w:tcPr>
            <w:tcW w:w="15451" w:type="dxa"/>
            <w:gridSpan w:val="11"/>
            <w:shd w:val="clear" w:color="auto" w:fill="auto"/>
          </w:tcPr>
          <w:p w:rsidR="0058007E" w:rsidRPr="000B398B" w:rsidRDefault="0058007E" w:rsidP="00DD25F4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D20476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8007E" w:rsidRPr="008F435A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pStyle w:val="afa"/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</w:pPr>
            <w:r w:rsidRPr="000B398B">
              <w:t>1.</w:t>
            </w: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jc w:val="both"/>
            </w:pPr>
            <w:r w:rsidRPr="000B398B">
              <w:t>Результативность коррекционно-профилактической деятельности.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обучающихся групп «социального риска», направленных в учреждение ОО, КДН и ЗП, ПДН и др. субъектами профилактики.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jc w:val="both"/>
            </w:pPr>
            <w:r w:rsidRPr="000B398B">
              <w:t>Не осуществляется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pStyle w:val="ac"/>
              <w:spacing w:before="0" w:beforeAutospacing="0" w:after="0" w:afterAutospacing="0"/>
              <w:jc w:val="both"/>
            </w:pPr>
            <w:r w:rsidRPr="000B398B">
              <w:t>Позитивная динамика сопровождения (снижение на 20-40%) по каждому виду учета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pStyle w:val="ac"/>
              <w:spacing w:before="0" w:beforeAutospacing="0" w:after="0" w:afterAutospacing="0"/>
              <w:jc w:val="both"/>
            </w:pPr>
            <w:r w:rsidRPr="000B398B">
              <w:t>Позитивная динамика сопровождения (снижение на 40-60 %) по каждому виду учета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Позитивная динамика сопровождения (снижение на 60-80%)</w:t>
            </w:r>
            <w:r w:rsidRPr="000B398B">
              <w:t> </w:t>
            </w:r>
            <w:r w:rsidRPr="000B398B">
              <w:rPr>
                <w:lang w:val="ru-RU"/>
              </w:rPr>
              <w:t>по каждому виду учета</w:t>
            </w:r>
          </w:p>
        </w:tc>
      </w:tr>
      <w:tr w:rsidR="0058007E" w:rsidRPr="008F435A" w:rsidTr="0058007E">
        <w:tc>
          <w:tcPr>
            <w:tcW w:w="567" w:type="dxa"/>
            <w:shd w:val="clear" w:color="auto" w:fill="auto"/>
          </w:tcPr>
          <w:p w:rsidR="0058007E" w:rsidRPr="000B398B" w:rsidRDefault="0058007E" w:rsidP="00DD25F4">
            <w:pPr>
              <w:suppressAutoHyphens/>
              <w:ind w:left="176"/>
              <w:contextualSpacing/>
            </w:pPr>
            <w:r w:rsidRPr="000B398B">
              <w:lastRenderedPageBreak/>
              <w:t>2.</w:t>
            </w: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Реализация программ сопровождения лиц с ограниченными возможностями здоровья и инвалидов </w:t>
            </w:r>
          </w:p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(инклюзия, интеграция):</w:t>
            </w:r>
          </w:p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родителей (законных представителей) лиц с ОВЗ, инвалидностью;</w:t>
            </w:r>
          </w:p>
          <w:p w:rsidR="0058007E" w:rsidRPr="000B398B" w:rsidRDefault="0058007E" w:rsidP="00DD25F4">
            <w:pPr>
              <w:rPr>
                <w:lang w:val="ru-RU"/>
              </w:rPr>
            </w:pPr>
            <w:r w:rsidRPr="000B398B">
              <w:rPr>
                <w:lang w:val="ru-RU"/>
              </w:rPr>
              <w:t>- педагогов, работающих с лицами с ОВЗ, инвалидами.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ПОО, отражающая реализуемые программы и результаты работы по программам, приказы.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Данное направление деятельности специалистом не реализуется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jc w:val="both"/>
            </w:pPr>
            <w:r w:rsidRPr="000B398B">
              <w:t>Реализует программы по  1 позиции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jc w:val="both"/>
            </w:pPr>
            <w:r w:rsidRPr="000B398B">
              <w:t>Реализует программы по 2 позициям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Реализует программы по 3-м  и более позициям</w:t>
            </w:r>
          </w:p>
        </w:tc>
      </w:tr>
      <w:tr w:rsidR="0058007E" w:rsidRPr="008F435A" w:rsidTr="0058007E">
        <w:tc>
          <w:tcPr>
            <w:tcW w:w="15451" w:type="dxa"/>
            <w:gridSpan w:val="11"/>
            <w:shd w:val="clear" w:color="auto" w:fill="auto"/>
          </w:tcPr>
          <w:p w:rsidR="0058007E" w:rsidRPr="000B398B" w:rsidRDefault="0058007E" w:rsidP="00DD25F4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8007E" w:rsidRPr="008F435A" w:rsidTr="0058007E">
        <w:tc>
          <w:tcPr>
            <w:tcW w:w="15451" w:type="dxa"/>
            <w:gridSpan w:val="11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</w:t>
            </w:r>
          </w:p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(а также их участие в олимпиадах, конкурсах, фестивалях, соревнованиях - для высшей категории)</w:t>
            </w:r>
          </w:p>
        </w:tc>
      </w:tr>
      <w:tr w:rsidR="0058007E" w:rsidRPr="008F435A" w:rsidTr="0058007E"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обучающихся в конкурсах, проектах, смотрах, выставках, фестивалях, олимпиадах, конференциях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 или другие документы, подтверждающие победы и призовые места с указанием роли соц. педагога 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t>Отсутств</w:t>
            </w:r>
            <w:r w:rsidRPr="000B398B">
              <w:rPr>
                <w:lang w:val="ru-RU"/>
              </w:rPr>
              <w:t>уют</w:t>
            </w:r>
          </w:p>
        </w:tc>
        <w:tc>
          <w:tcPr>
            <w:tcW w:w="1695" w:type="dxa"/>
            <w:gridSpan w:val="3"/>
            <w:tcBorders>
              <w:bottom w:val="nil"/>
            </w:tcBorders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Участие на уровне ПОО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Победы и призовые места на муниципальном уровне 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Победы и призовые места на региональном уровне 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Победы и призовые места на всероссийском уровне </w:t>
            </w:r>
          </w:p>
        </w:tc>
      </w:tr>
      <w:tr w:rsidR="0058007E" w:rsidRPr="008F435A" w:rsidTr="0058007E"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i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призового места +1 балл дополнительно (но не </w:t>
            </w:r>
            <w:r w:rsidRPr="00D20476">
              <w:rPr>
                <w:lang w:val="ru-RU"/>
              </w:rPr>
              <w:t>более 5 баллов).</w:t>
            </w:r>
          </w:p>
        </w:tc>
      </w:tr>
      <w:tr w:rsidR="0058007E" w:rsidRPr="000B398B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Включенность обучающихся в различные виды внеурочной деятельности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Справка руководителя ПОО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Отсутствие занятости обучающихся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Включенность отдельных студентов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Включенность от 20 до 39 %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Включенность от 40 до 59 %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Включенность от 60 % и выше</w:t>
            </w:r>
          </w:p>
        </w:tc>
      </w:tr>
      <w:tr w:rsidR="0058007E" w:rsidRPr="008F435A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Снижение количества обучающихся, состоящих на профилактическом учете в правоохранительных </w:t>
            </w:r>
            <w:r w:rsidRPr="000B398B">
              <w:rPr>
                <w:lang w:val="ru-RU"/>
              </w:rPr>
              <w:lastRenderedPageBreak/>
              <w:t xml:space="preserve">органах 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lastRenderedPageBreak/>
              <w:t>Справка руководителя ПОО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0B398B">
              <w:t>Отсутствие позитивной динамики 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0B398B">
              <w:t>Позитивная динамика (снижение на 20-40%) 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0B398B">
              <w:t>Позитивная динамика (снижение на 40-60 %)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Позитивная динамика (снижение на 60-80%) 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0B398B">
              <w:t xml:space="preserve">Отсутствие студентов, состоящих на учете в ОУ, КДН, ПДН </w:t>
            </w:r>
          </w:p>
        </w:tc>
      </w:tr>
      <w:tr w:rsidR="0058007E" w:rsidRPr="000B398B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Система взаимодействие с родителями, кураторами групп: </w:t>
            </w:r>
          </w:p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увеличение количества семей, охваченных работой социального педагога, в сравнении с предыдущим периодом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Справка руководителя ПОО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0B398B">
              <w:t>Отсутствие взаимодействий 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0B398B">
              <w:t>Реализуется частично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Реализуется полностью</w:t>
            </w:r>
          </w:p>
        </w:tc>
      </w:tr>
      <w:tr w:rsidR="0058007E" w:rsidRPr="008F435A" w:rsidTr="0058007E">
        <w:tc>
          <w:tcPr>
            <w:tcW w:w="15451" w:type="dxa"/>
            <w:gridSpan w:val="11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(продуктивного использования новых образовательных технологий- для высшей категории), транслирование в педагогических коллективах опыта практических результатов своей профессиональной деятельности, (в том числе экспериментальной и инновационной - для высшей категории)</w:t>
            </w:r>
          </w:p>
        </w:tc>
      </w:tr>
      <w:tr w:rsidR="0058007E" w:rsidRPr="008F435A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 социального сопровождения лиц с ограниченными возможностями здоровья и инвалидов:</w:t>
            </w:r>
          </w:p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обучающихся с ОВЗ, инвалидностью;</w:t>
            </w:r>
          </w:p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родителей (законных представителей) лиц с ОВЗ, инвалидностью;</w:t>
            </w:r>
          </w:p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педагогов, работающих с ребенком с лицами сОВЗ, инвалидностью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отражающая реализуемые программы и результаты работы по программам, приказы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suppressAutoHyphens/>
              <w:ind w:right="-108"/>
              <w:contextualSpacing/>
              <w:jc w:val="both"/>
            </w:pPr>
            <w:r w:rsidRPr="000B398B">
              <w:t>Не реализует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Реализует программы по 1 позиции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Реализует программы по 2 позициям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Реализует программы по 3-м и более позициям  </w:t>
            </w:r>
          </w:p>
        </w:tc>
      </w:tr>
      <w:tr w:rsidR="0058007E" w:rsidRPr="008F435A" w:rsidTr="0058007E">
        <w:trPr>
          <w:trHeight w:val="1050"/>
        </w:trPr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0B398B" w:rsidRDefault="0058007E" w:rsidP="00DD25F4">
            <w:pPr>
              <w:pStyle w:val="a5"/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 работы, материалов из опыта работы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Свидетельство, сертификат, приказ. Выписка из протокола на уровне ОО.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Опыт не обобщён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58007E" w:rsidRPr="008F435A" w:rsidTr="0058007E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D25F4">
            <w:pPr>
              <w:pStyle w:val="a5"/>
              <w:suppressAutoHyphens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58007E" w:rsidRPr="000B398B" w:rsidRDefault="0058007E" w:rsidP="00DD25F4">
            <w:pPr>
              <w:contextualSpacing/>
              <w:rPr>
                <w:lang w:val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8007E" w:rsidRPr="000B398B" w:rsidRDefault="0058007E" w:rsidP="00DD25F4">
            <w:pPr>
              <w:contextualSpacing/>
              <w:rPr>
                <w:lang w:val="ru-RU"/>
              </w:rPr>
            </w:pPr>
          </w:p>
        </w:tc>
        <w:tc>
          <w:tcPr>
            <w:tcW w:w="4104" w:type="dxa"/>
            <w:gridSpan w:val="2"/>
            <w:shd w:val="clear" w:color="auto" w:fill="auto"/>
          </w:tcPr>
          <w:p w:rsidR="0058007E" w:rsidRPr="000B398B" w:rsidRDefault="0058007E" w:rsidP="00DD25F4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+2 балла за АПО </w:t>
            </w:r>
          </w:p>
          <w:p w:rsidR="0058007E" w:rsidRPr="000B398B" w:rsidRDefault="0058007E" w:rsidP="00DD25F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(но не более 3-х баллов)</w:t>
            </w:r>
          </w:p>
        </w:tc>
      </w:tr>
      <w:tr w:rsidR="0058007E" w:rsidRPr="008F435A" w:rsidTr="0058007E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ind w:right="-11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58007E" w:rsidRPr="008F435A" w:rsidTr="0058007E">
        <w:trPr>
          <w:trHeight w:val="183"/>
        </w:trPr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ind w:right="-111"/>
              <w:contextualSpacing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679" w:type="dxa"/>
            <w:gridSpan w:val="2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70" w:type="dxa"/>
            <w:gridSpan w:val="4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2х и более печатных изданий, публикаций +1 балл за каждое (но не более 3 баллов). </w:t>
            </w:r>
          </w:p>
        </w:tc>
      </w:tr>
      <w:tr w:rsidR="0058007E" w:rsidRPr="000B398B" w:rsidTr="0058007E"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</w:pPr>
            <w:r w:rsidRPr="000B398B">
              <w:t>Пассивное участие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Выступление на уровне ОУ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Выступление на муниципальном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региональном, межрегиональном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ind w:right="-108"/>
              <w:contextualSpacing/>
            </w:pPr>
            <w:r w:rsidRPr="000B398B">
              <w:t xml:space="preserve">Выступление на международном,  </w:t>
            </w:r>
          </w:p>
          <w:p w:rsidR="0058007E" w:rsidRPr="000B398B" w:rsidRDefault="0058007E" w:rsidP="00DD25F4">
            <w:pPr>
              <w:suppressAutoHyphens/>
              <w:ind w:right="-108"/>
              <w:contextualSpacing/>
            </w:pPr>
            <w:r w:rsidRPr="000B398B">
              <w:t>всероссийскомуровнях</w:t>
            </w:r>
          </w:p>
        </w:tc>
      </w:tr>
      <w:tr w:rsidR="0058007E" w:rsidRPr="008F435A" w:rsidTr="0058007E"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</w:t>
            </w:r>
            <w:r w:rsidRPr="00D20476">
              <w:rPr>
                <w:lang w:val="ru-RU"/>
              </w:rPr>
              <w:t>х +1 балла дополнительно за каждое (не более 3 баллов)</w:t>
            </w:r>
          </w:p>
        </w:tc>
      </w:tr>
      <w:tr w:rsidR="0058007E" w:rsidRPr="000B398B" w:rsidTr="0058007E">
        <w:trPr>
          <w:trHeight w:val="1658"/>
        </w:trPr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rPr>
                <w:lang w:val="ru-RU"/>
              </w:rPr>
              <w:t xml:space="preserve">Профессиональная активность педагога: участие в экспертных комиссиях, в творческих группах, в жюри профессиональных конкурсов. </w:t>
            </w:r>
            <w:r w:rsidRPr="000B398B">
              <w:t xml:space="preserve">Руководство первичной профсоюзной организацией.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0B398B">
              <w:t>Приказы, выписки.</w:t>
            </w:r>
          </w:p>
          <w:p w:rsidR="0058007E" w:rsidRPr="000B398B" w:rsidRDefault="0058007E" w:rsidP="00DD25F4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Отсутствует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Участие на уровне ОУ Руководство первичной профсоюзной организацией ОО.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Наставничество над педагогами, руководство практикой студентов.</w:t>
            </w:r>
          </w:p>
          <w:p w:rsidR="0058007E" w:rsidRPr="000B398B" w:rsidRDefault="0058007E" w:rsidP="00DD25F4">
            <w:pPr>
              <w:tabs>
                <w:tab w:val="left" w:pos="1506"/>
              </w:tabs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На муниципальном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 xml:space="preserve">На региональном уровне  </w:t>
            </w:r>
          </w:p>
        </w:tc>
      </w:tr>
      <w:tr w:rsidR="0058007E" w:rsidRPr="008F435A" w:rsidTr="0058007E">
        <w:trPr>
          <w:trHeight w:val="542"/>
        </w:trPr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5 баллов )</w:t>
            </w:r>
          </w:p>
        </w:tc>
      </w:tr>
      <w:tr w:rsidR="0058007E" w:rsidRPr="000B398B" w:rsidTr="0058007E"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8007E" w:rsidRPr="008F435A" w:rsidTr="0058007E"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8007E" w:rsidRPr="000B398B" w:rsidRDefault="0058007E" w:rsidP="00DD25F4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  <w:p w:rsidR="0058007E" w:rsidRPr="000B398B" w:rsidRDefault="0058007E" w:rsidP="00DD25F4">
            <w:pPr>
              <w:rPr>
                <w:lang w:val="ru-RU"/>
              </w:rPr>
            </w:pPr>
          </w:p>
        </w:tc>
      </w:tr>
      <w:tr w:rsidR="0058007E" w:rsidRPr="000B398B" w:rsidTr="0058007E"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4630F1" w:rsidRDefault="0058007E" w:rsidP="00D20476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8007E" w:rsidRPr="008F435A" w:rsidTr="0058007E"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0B398B" w:rsidRDefault="0058007E" w:rsidP="00D20476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0B398B" w:rsidRDefault="0058007E" w:rsidP="00DD25F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8007E" w:rsidRPr="000B398B" w:rsidRDefault="0058007E" w:rsidP="00DD25F4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</w:tr>
      <w:tr w:rsidR="0058007E" w:rsidRPr="008F435A" w:rsidTr="0058007E">
        <w:tc>
          <w:tcPr>
            <w:tcW w:w="567" w:type="dxa"/>
            <w:vMerge w:val="restart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58007E" w:rsidRPr="000B398B" w:rsidRDefault="0058007E" w:rsidP="00D20476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уровне-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8007E" w:rsidRPr="008F435A" w:rsidTr="0058007E">
        <w:tc>
          <w:tcPr>
            <w:tcW w:w="567" w:type="dxa"/>
            <w:vMerge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007E" w:rsidRPr="000B398B" w:rsidRDefault="0058007E" w:rsidP="00DD25F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  <w:vAlign w:val="center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8007E" w:rsidRPr="008F435A" w:rsidTr="0058007E">
        <w:tc>
          <w:tcPr>
            <w:tcW w:w="15451" w:type="dxa"/>
            <w:gridSpan w:val="11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Активное участие в работе методических объединений педагогических работников организации 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58007E" w:rsidRPr="008F435A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4630F1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8007E" w:rsidRPr="000B398B" w:rsidRDefault="0058007E" w:rsidP="00DD25F4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r w:rsidRPr="000B398B">
              <w:t>Не участвует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  <w:rPr>
                <w:lang w:val="ru-RU"/>
              </w:rPr>
            </w:pPr>
          </w:p>
        </w:tc>
      </w:tr>
      <w:tr w:rsidR="0058007E" w:rsidRPr="000B398B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BC7152">
            <w:pPr>
              <w:suppressAutoHyphens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 социального сопровождения обучающихся, оставшихся без попечения родителей (сирот)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Справка руководителя 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Не реализует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Реализуется частично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jc w:val="both"/>
            </w:pPr>
            <w:r w:rsidRPr="000B398B">
              <w:t>Реализуется полностью</w:t>
            </w:r>
          </w:p>
        </w:tc>
      </w:tr>
      <w:tr w:rsidR="0058007E" w:rsidRPr="008F435A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t>Не участвует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муниципального, регионального и всероссийского уровня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муниципальных профессиональных конкурсов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всероссийского этапа, в том числе конкурсного отбора лучших педагогов </w:t>
            </w:r>
          </w:p>
        </w:tc>
      </w:tr>
      <w:tr w:rsidR="0058007E" w:rsidRPr="008F435A" w:rsidTr="0058007E">
        <w:tc>
          <w:tcPr>
            <w:tcW w:w="567" w:type="dxa"/>
            <w:shd w:val="clear" w:color="auto" w:fill="auto"/>
          </w:tcPr>
          <w:p w:rsidR="0058007E" w:rsidRPr="000B398B" w:rsidRDefault="0058007E" w:rsidP="0058007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</w:t>
            </w:r>
            <w:r w:rsidRPr="000B398B">
              <w:rPr>
                <w:lang w:val="ru-RU"/>
              </w:rPr>
              <w:lastRenderedPageBreak/>
              <w:t>профессиональных достижений педагога (поощрения за подготовку обучающихся и проведение заочных конкурсов на уровне ПОО не учитываются).</w:t>
            </w:r>
          </w:p>
        </w:tc>
        <w:tc>
          <w:tcPr>
            <w:tcW w:w="241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lastRenderedPageBreak/>
              <w:t xml:space="preserve">Грамоты, </w:t>
            </w:r>
            <w:r w:rsidRPr="000B398B">
              <w:lastRenderedPageBreak/>
              <w:t xml:space="preserve">благодарности, приказы, удостоверения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</w:pPr>
            <w:r w:rsidRPr="000B398B">
              <w:lastRenderedPageBreak/>
              <w:t>Отсутствуют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</w:t>
            </w:r>
            <w:r w:rsidRPr="000B398B">
              <w:rPr>
                <w:lang w:val="ru-RU"/>
              </w:rPr>
              <w:lastRenderedPageBreak/>
              <w:t>уровня учреждения в межаттестационный период</w:t>
            </w:r>
          </w:p>
        </w:tc>
        <w:tc>
          <w:tcPr>
            <w:tcW w:w="1850" w:type="dxa"/>
            <w:shd w:val="clear" w:color="auto" w:fill="auto"/>
          </w:tcPr>
          <w:p w:rsidR="0058007E" w:rsidRPr="000B398B" w:rsidRDefault="0058007E" w:rsidP="00DD25F4">
            <w:pPr>
              <w:suppressAutoHyphens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</w:t>
            </w:r>
            <w:r w:rsidRPr="000B398B">
              <w:rPr>
                <w:lang w:val="ru-RU"/>
              </w:rPr>
              <w:lastRenderedPageBreak/>
              <w:t>муниципального уровня в межаттестационный период.</w:t>
            </w:r>
          </w:p>
        </w:tc>
        <w:tc>
          <w:tcPr>
            <w:tcW w:w="1701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</w:t>
            </w:r>
            <w:r w:rsidRPr="000B398B">
              <w:rPr>
                <w:lang w:val="ru-RU"/>
              </w:rPr>
              <w:lastRenderedPageBreak/>
              <w:t>всероссийского  или регионального уровня в межаттестационный период</w:t>
            </w:r>
          </w:p>
        </w:tc>
        <w:tc>
          <w:tcPr>
            <w:tcW w:w="2403" w:type="dxa"/>
            <w:shd w:val="clear" w:color="auto" w:fill="auto"/>
          </w:tcPr>
          <w:p w:rsidR="0058007E" w:rsidRPr="000B398B" w:rsidRDefault="0058007E" w:rsidP="00DD25F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</w:t>
            </w:r>
            <w:r w:rsidRPr="000B398B">
              <w:rPr>
                <w:lang w:val="ru-RU"/>
              </w:rPr>
              <w:lastRenderedPageBreak/>
              <w:t>всероссийского уровня, АСИ, отраслевые награды (независимо от срока)</w:t>
            </w:r>
          </w:p>
        </w:tc>
      </w:tr>
    </w:tbl>
    <w:p w:rsidR="0058007E" w:rsidRPr="000B398B" w:rsidRDefault="0058007E" w:rsidP="0058007E">
      <w:pPr>
        <w:jc w:val="center"/>
        <w:rPr>
          <w:b/>
          <w:lang w:val="ru-RU"/>
        </w:rPr>
      </w:pPr>
    </w:p>
    <w:p w:rsidR="0058007E" w:rsidRPr="000B398B" w:rsidRDefault="0058007E" w:rsidP="0058007E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58007E" w:rsidRPr="000B398B" w:rsidRDefault="0058007E" w:rsidP="0058007E">
      <w:pPr>
        <w:shd w:val="clear" w:color="auto" w:fill="FFFFFF"/>
        <w:jc w:val="center"/>
        <w:rPr>
          <w:lang w:val="ru-RU"/>
        </w:rPr>
      </w:pPr>
      <w:r w:rsidRPr="000B398B">
        <w:rPr>
          <w:lang w:val="ru-RU"/>
        </w:rPr>
        <w:t>- 55 баллов и более - уровень высшей квалификационной категории;</w:t>
      </w:r>
      <w:r w:rsidRPr="000B398B">
        <w:rPr>
          <w:lang w:val="ru-RU"/>
        </w:rPr>
        <w:br/>
        <w:t>- от 45 до 54 баллов - уровень первой квалификационной категории;</w:t>
      </w:r>
      <w:r w:rsidRPr="000B398B">
        <w:rPr>
          <w:lang w:val="ru-RU"/>
        </w:rPr>
        <w:br/>
        <w:t>- ниже 45 баллов - уровень, недостаточный для аттестации на квалификационную категорию.</w:t>
      </w:r>
    </w:p>
    <w:sectPr w:rsidR="0058007E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BE" w:rsidRDefault="008800BE" w:rsidP="00CA1722">
      <w:r>
        <w:separator/>
      </w:r>
    </w:p>
  </w:endnote>
  <w:endnote w:type="continuationSeparator" w:id="1">
    <w:p w:rsidR="008800BE" w:rsidRDefault="008800BE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BE" w:rsidRDefault="008800BE" w:rsidP="00CA1722">
      <w:r>
        <w:separator/>
      </w:r>
    </w:p>
  </w:footnote>
  <w:footnote w:type="continuationSeparator" w:id="1">
    <w:p w:rsidR="008800BE" w:rsidRDefault="008800BE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B7F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00B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35A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2021-07-20T13:29:00Z</dcterms:created>
  <dcterms:modified xsi:type="dcterms:W3CDTF">2021-07-20T13:29:00Z</dcterms:modified>
</cp:coreProperties>
</file>