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Министерсво образования</w:t>
      </w:r>
      <w:r/>
      <w:r>
        <w:rPr>
          <w:rFonts w:ascii="Times New Roman" w:hAnsi="Times New Roman" w:cs="Times New Roman"/>
          <w:sz w:val="28"/>
          <w:szCs w:val="28"/>
        </w:rPr>
        <w:t xml:space="preserve"> Белгородской области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Областное государственно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автономное профессиональное </w:t>
      </w:r>
      <w:r/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«Белгородский индустриальный колледж»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Style w:val="47"/>
        <w:tblW w:w="0" w:type="auto"/>
        <w:tblInd w:w="478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4569"/>
      </w:tblGrid>
      <w:tr>
        <w:trPr/>
        <w:tc>
          <w:tcPr>
            <w:tcW w:w="47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комиссией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кономики и страхового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№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»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цикловой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Алиева Э.Н.</w:t>
            </w:r>
            <w:r/>
          </w:p>
        </w:tc>
      </w:tr>
    </w:tbl>
    <w:p>
      <w:pPr>
        <w:jc w:val="center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</w:r>
      <w:r>
        <w:rPr>
          <w:rFonts w:ascii="Times New Roman" w:hAnsi="Times New Roman" w:cs="Times New Roman"/>
          <w:sz w:val="40"/>
          <w:szCs w:val="40"/>
        </w:rPr>
      </w:r>
    </w:p>
    <w:p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</w:r>
      <w:r>
        <w:rPr>
          <w:rFonts w:ascii="Times New Roman" w:hAnsi="Times New Roman" w:cs="Times New Roman"/>
          <w:sz w:val="40"/>
          <w:szCs w:val="40"/>
        </w:rPr>
      </w:r>
    </w:p>
    <w:p>
      <w:pPr>
        <w:jc w:val="center"/>
      </w:pPr>
      <w:r>
        <w:rPr>
          <w:rFonts w:ascii="Times New Roman" w:hAnsi="Times New Roman" w:cs="Times New Roman"/>
          <w:sz w:val="40"/>
          <w:szCs w:val="40"/>
        </w:rPr>
        <w:t xml:space="preserve">Методическая разработка</w:t>
      </w:r>
      <w:r>
        <w:rPr>
          <w:rFonts w:ascii="Times New Roman" w:hAnsi="Times New Roman" w:cs="Times New Roman"/>
          <w:sz w:val="40"/>
          <w:szCs w:val="40"/>
        </w:rPr>
      </w:r>
      <w:r/>
    </w:p>
    <w:p>
      <w:pPr>
        <w:jc w:val="center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40"/>
        </w:rPr>
        <w:t xml:space="preserve">по проведению</w:t>
      </w:r>
      <w:r>
        <w:rPr>
          <w:rFonts w:ascii="Times New Roman" w:hAnsi="Times New Roman" w:cs="Times New Roman"/>
          <w:sz w:val="36"/>
          <w:szCs w:val="40"/>
        </w:rPr>
        <w:t xml:space="preserve"> </w:t>
      </w:r>
      <w:r>
        <w:rPr>
          <w:rFonts w:ascii="Times New Roman" w:hAnsi="Times New Roman" w:cs="Times New Roman"/>
          <w:sz w:val="36"/>
          <w:szCs w:val="40"/>
        </w:rPr>
        <w:t xml:space="preserve">мастер класса </w:t>
      </w:r>
      <w:r>
        <w:rPr>
          <w:rFonts w:ascii="Times New Roman" w:hAnsi="Times New Roman" w:cs="Times New Roman"/>
          <w:sz w:val="36"/>
          <w:szCs w:val="40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6"/>
          <w:szCs w:val="40"/>
        </w:rPr>
        <w:t xml:space="preserve">на тему: </w:t>
      </w:r>
      <w:r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«</w:t>
      </w:r>
      <w:r>
        <w:rPr>
          <w:rFonts w:ascii="Times New Roman" w:hAnsi="Times New Roman" w:eastAsia="Open Sans" w:cs="Times New Roman"/>
          <w:b w:val="0"/>
          <w:bCs w:val="0"/>
          <w:color w:val="000000"/>
          <w:sz w:val="36"/>
          <w:szCs w:val="36"/>
        </w:rPr>
        <w:t xml:space="preserve">Будь подкован в страховании</w:t>
      </w:r>
      <w:r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!</w:t>
      </w:r>
      <w:r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</w:pPr>
      <w:r>
        <w:rPr>
          <w:rFonts w:ascii="Times New Roman" w:hAnsi="Times New Roman" w:cs="Times New Roman"/>
          <w:sz w:val="36"/>
          <w:szCs w:val="40"/>
        </w:rPr>
      </w:r>
      <w:r/>
    </w:p>
    <w:p>
      <w:pPr>
        <w:jc w:val="right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Разработчик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Преподавател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 ОГАПОУ «БИК»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Абдуллина Е.Ф.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Белгород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  <w:br w:type="page" w:clear="all"/>
      </w:r>
      <w:r/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СОДЕРЖАНИЕ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47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7788"/>
        <w:gridCol w:w="1200"/>
      </w:tblGrid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7788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1.Введение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120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7788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2.Общая характеристика занятия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120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7788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3.Педагогическая характеристика занятия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120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7788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4.Заключение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120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7788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5.Список использованных документов и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120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7788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6.Приложения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120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ВВЕДЕНИЕ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Появление в обществе молодых и энергичных людей с активной жизненной позицией, разбирающихся в финансах и страховании, осознающих свои интересы и знающих, как их защитить, благоприятно отразится на общественном сознании и позволит постепенно заменить пасси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вное отношение к своей безопасности на осознанное понимание путей и способов её обеспечения. Страхование имеет многовековую историю и относится к таким основополагающим категориям, как финансы, кредит, налоги. На сегодняшний день страхование представляет с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обой способ компенсации ущерба, нанесенного собственнику материальных ценностей в результате стихийных бедствий, аварий, пожаров, землетрясений, ограблений и т.п.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Необходимость изучения страхования вытекает из случайной, непредсказуемой природы множества факторов, с которыми мы постоянно сталкиваемся. При таких столкновениях часто страдают наши интересы. Эти интересы связаны с сохранением личных (жизнь, здоровье, тр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удоспособность) и имущественных (имущество, доходы) благ. Эти интересы могут быть защищены, в том числе и с помощью страхования. Но для того чтобы осознать эти интересы, возможности страхования, необходимо понимать, что ничто в жизни не даётся без труда, п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оэтому обучение основам страховой грамотности целесообразно начинать со школы.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Актуальность выбранной темы заключается в том, что знание основ страхового дела обеспечит участникам возможность грамотной защиты своих личных интересов, связанных: с владением, распоряжением и пользованием имуществом; жизнью, здоровьем, трудоспособностью, п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енсионным обеспечением; гражданской ответственностью перед любыми третьими лицами, например, за неумышленное, случайное причинение вреда (физического, морального) их личности и нанесение ущерба их имуществу.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Цель мастер класса – формирование у 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участников</w:t>
      </w:r>
      <w:r/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 навыков использования возможностей страховых продуктов и условий страхования.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Форма занятия: мастер класс в форме квеста, которое проводится с целью повышения финансовой грамотности в сфере страхования среди населения. Такая форма проведения занятий расширяет кругозор участников, способствует развитию коллект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ивизма, коммуникативности и логического мышления.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Практическая значимость данной методической разработки заключается в том, что её можно использовать как на уроках по финансовой грамотности, так и на внеклассных мероприятиях. В результате у обучающихся формируются навыки использования возможностей страхов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ых продуктов и условий страхования, овладения основными понятиями по теме «Страхование» и инструментами взаимодействия с участниками страховых отношений, понимания принципов функционирования системы Страхования в России.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br w:type="column"/>
      </w:r>
      <w:r>
        <w:rPr>
          <w:rFonts w:ascii="Times New Roman" w:hAnsi="Times New Roman" w:eastAsia="Open Sans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sz w:val="36"/>
          <w:szCs w:val="36"/>
        </w:rPr>
      </w:r>
      <w:r>
        <w:rPr>
          <w:rFonts w:ascii="Times New Roman" w:hAnsi="Times New Roman" w:eastAsia="Open Sans" w:cs="Times New Roman"/>
          <w:color w:val="000000"/>
          <w:sz w:val="36"/>
          <w:szCs w:val="36"/>
        </w:rPr>
        <w:t xml:space="preserve">Мастер класс</w:t>
      </w:r>
      <w:r>
        <w:rPr>
          <w:rFonts w:ascii="Times New Roman" w:hAnsi="Times New Roman" w:eastAsia="Times New Roman" w:cs="Times New Roman"/>
          <w:color w:val="000000" w:themeColor="text1"/>
          <w:sz w:val="36"/>
          <w:szCs w:val="24"/>
          <w:lang w:eastAsia="ru-RU"/>
        </w:rPr>
        <w:t xml:space="preserve"> на тему:</w:t>
      </w:r>
      <w:r>
        <w:rPr>
          <w:rFonts w:ascii="Times New Roman" w:hAnsi="Times New Roman" w:eastAsia="Times New Roman" w:cs="Times New Roman"/>
          <w:color w:val="000000" w:themeColor="text1"/>
          <w:sz w:val="36"/>
          <w:szCs w:val="24"/>
          <w:lang w:eastAsia="ru-RU"/>
        </w:rPr>
      </w:r>
      <w:r/>
    </w:p>
    <w:p>
      <w:pPr>
        <w:jc w:val="center"/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«</w:t>
      </w:r>
      <w:r>
        <w:rPr>
          <w:rFonts w:ascii="Times New Roman" w:hAnsi="Times New Roman" w:eastAsia="Open Sans" w:cs="Times New Roman"/>
          <w:b w:val="0"/>
          <w:bCs w:val="0"/>
          <w:color w:val="000000"/>
          <w:sz w:val="36"/>
          <w:szCs w:val="36"/>
        </w:rPr>
        <w:t xml:space="preserve">Будь подкован в страховании</w:t>
      </w:r>
      <w:r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!</w:t>
      </w:r>
      <w:r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»</w:t>
      </w:r>
      <w:r/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/>
    </w:p>
    <w:p>
      <w:pPr>
        <w:jc w:val="both"/>
        <w:spacing w:after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20"/>
        <w:jc w:val="both"/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Дата проведения: 24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09.20</w:t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_14086"/>
        <w:ind w:firstLine="709"/>
        <w:jc w:val="both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Цель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: обучить участников основам принятия решений по выбору страховых продуктов и взаимодействию со страховыми компаниями с позиции минимизации финансовых рисков.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Задачи: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Научиться основам взаимодействия со страховыми компаниями в процессе страхования личных и имущественных рисков, грамотно действовать при наступлении страхового случая, защитить свои права страхователя и застрахованного в спорах со страховыми компаниями.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Метапредметные результаты: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Регулятивные: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понимание цели своих действий;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планирование действия;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проявление познавательной и творческой инициативы;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оценка правильности выполнения действий; самооценка и взаимооценка;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адекватное восприятие предложений товарищей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Коммуникативные: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готовность слушать собеседника и вести диалог;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готовность признавать возможность существования различных точек зрения и права каждого иметь свою;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умение излагать своё мнение, аргументировать свою точку зрения и давать оценку событий;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Предметные: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понимание и правильное использование экономических терминов;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освоение приёмов работы с экономической информацией, её осмысление; проведение простых финансовых расчётов.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приобретение знаний и опыта применения полученных знаний и умений для решения типичных задач в области страхования;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развитие способностей обучающихся делать необходимые выводы и давать обоснованные оценки экономических ситуаций;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развитие кругозора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Личностные: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6"/>
        </w:numPr>
        <w:ind w:right="0" w:firstLine="72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осознавать себя как члена общества и государства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7"/>
        </w:numPr>
        <w:ind w:right="0" w:firstLine="72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развивать самостоятельность и личную ответственность за свои поступки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8"/>
        </w:numPr>
        <w:ind w:right="0" w:firstLine="72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воспитывать гражданскую компетенцию в области экономических знаний.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Описание учебного процесса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47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040"/>
        <w:gridCol w:w="1944"/>
        <w:gridCol w:w="3108"/>
        <w:gridCol w:w="1968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204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Этап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1944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Продолжительность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50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Содержание педагогического взаимодействия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1" w:sz="8" w:space="0"/>
              <w:right w:val="single" w:color="000001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1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Деятельность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1" w:sz="8" w:space="0"/>
              <w:right w:val="single" w:color="000001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19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Деятельность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204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Организационный момент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(Мотивационно-целевая установка)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194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3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1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Вступительное слово преподавателя. Стимулирование мотивации на занятие. Собрать слово из предложенных букв.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Какие ассоциации у вас возникают, когда вы слышите слово «Страх».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Определяется тема занятия, объясняются правила игры. Учитель подводит учеников к цели занятия.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19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Приветствуют преподавателя.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Участвуют в квест- игре.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Учащиеся сами формулируют тему занятия.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204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Этап обобщения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Решение практических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194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35-40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1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На каждом этапе, объяснение деятельности учеников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19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Выполняют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Работа в командах.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Решают ситуационные задачи.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204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Заключение (итоги и рефлексия)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194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5-7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1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Преподаватель помогает ученикам подвести итоги и предлагает собрать книгу советов.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Оцените наше занятие, опустив свои жетоны в соответствующие коробки: «Понравилось», «Было интересно», «Не понравилось»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19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Ученики подводят итоги и составляют книгу советов, выражают свое отношение к квесту.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47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072"/>
        <w:gridCol w:w="2640"/>
        <w:gridCol w:w="3516"/>
      </w:tblGrid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072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264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16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Типы заданий контрольно-измерительных процедур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072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1. Оргмомент. Актуализация знаний. Мотивация, постановка целей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264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Развивающая технология: словесный, наглядный метод, работа в группах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16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Жеребьевка. Составление слова. Дети формулируют тему квеста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072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2. Этап обобщения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Решение практических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264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Игровая технология, групповые методы, наглядные методы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16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Работа с карточками, решение задач, просмотр видеофрагмента, работа с ситуациями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072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Заключение (итоги и рефлексия)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2640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Технология критического мышления, развивающие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16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Составление книги советов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МЕТОДИЧЕСКАЯ ХАРАКТЕРИСТИКА ЗАНЯТИЯ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Перечень методик (технологий, методических приемов), рекомендуемых к использованию: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9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наглядный метод обучения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0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метод работы в группах (решение практических задач)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1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проблемный метод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2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игровая технология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3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развивающая технология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4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технология критического мышления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Методика оценки педагогической эффективности занятия: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Подведение итогов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- составляется Книга полезных советов “Будь подкован в страховании”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afterAutospacing="0"/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sz w:val="28"/>
          <w:szCs w:val="28"/>
        </w:rPr>
        <w:br w:type="page" w:clear="all"/>
      </w:r>
      <w:r>
        <w:rPr>
          <w:rFonts w:ascii="Times New Roman" w:hAnsi="Times New Roman" w:eastAsia="Open Sans" w:cs="Times New Roman"/>
          <w:sz w:val="28"/>
          <w:szCs w:val="28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ЗАКЛЮЧЕНИЕ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Тема и содержание разработанной квест-игры, являются актуальными, вызывают интерес и живую реакцию со стороны обучающихся.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2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 ходе Квеста содержание темы «Страхование» обобщается и рассматривается всесторонне, с учетом различных аспектов страховых услуг, предлагаются разнообразные способы работы с материалом, устанавливается эффективное диалогическое и групповое сотрудничество.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 В ходе мероприятия обучающиеся получают опыт практического решения страховых ситуаций, учатся анализировать и находить возможные пути их решения. Использование квест-игры в ходе обучения способствует активной самостоятельной деятельности учащихся по разре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шению противоречий, в результате чего и происходит творческое овладение знаниями, навыками, умениями и развитие мыслительных способностей. Таким образом, повышение уровня страховой грамотности, достигается комплексно, имеет высокую степень эффективности и 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гарантированный результат.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afterAutospacing="0"/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sz w:val="28"/>
          <w:szCs w:val="28"/>
        </w:rPr>
        <w:br w:type="page" w:clear="all"/>
      </w:r>
      <w:r>
        <w:rPr>
          <w:rFonts w:ascii="Times New Roman" w:hAnsi="Times New Roman" w:eastAsia="Open Sans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СПИСОК ИСПОЛЬЗОВАННЫХ ДОКУМЕНТОВ И ИСТОЧНИКОВ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Учебно-методическое обеспечение: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1. Гражданский кодекс Российской Федерации, часть 2 (принят Государственной думой 22 декабря 1995 г., в редакции от 28.12.2013 № 416-ФЗ).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2. Закон Российской Федерации от 27.11.1992 № 4015-1 «Об организации страхового дела в Российской Федерации» (в редакции от 04.06.2014 № 149-ФЗ).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Учебник и/или учебное пособие для учащихся: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1. Финансовая грамотность: материалы для учащихся. 10–11 классы об-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щеобразоват. орг. / Ю. В. Брехова, А. П. Алмосов, Д. Ю. Завьялов. — М.: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ВИТА-ПРЕСС, 2014. — 400 с., ил. (Дополнительное образование: Серия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«Учимся разумному финансовому поведению»);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2. Финансовая грамотность: контрольные измерительные материалы.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10–11 классы общеобразоват. орг. / Ю. В. Брехова, А. П. Алмосов,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Д. Ю. Завьялов. — М.: ВИТА-ПРЕСС, 2014. — 48 с. (Дополнительное образова-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ние: Серия «Учимся разумному финансовому поведению»);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Методические материалы для учителя: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1.Финансовая грамотность: методические рекомендации для учителя.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10–11 классы общеобразоват. орг. / Ю. В. Брехова, А. П. Алмосов, Д. Ю. Завьялов. —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М.: ВИТА-ПРЕСС, 2014. — 80 с. (Дополнительное образование: Серия «Учимся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разумному финансовому поведению»);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Интернет-ресурсы: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  <w:u w:val="single"/>
        </w:rPr>
        <w:t xml:space="preserve">fmc.hse.ru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  <w:u w:val="single"/>
        </w:rPr>
        <w:t xml:space="preserve">вашифинансы.рф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  <w:u w:val="single"/>
        </w:rPr>
        <w:t xml:space="preserve">хочумогузнаю.рф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Необходимые организационные и технические условия: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5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подготовка кабинетов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6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подготовка интерактивных заданий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- распечатка раздаточного материала,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- подключение технических устройств (компьютер, проектор),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Краткая характеристика презентации, необходимой для проведения занятия: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Презентация к квесту «Будь подкован в страховании” наглядно иллюстрирует основные этапы работы на занятии, терминологию, виды страхования, страховые события, страховое возмещение и т.д.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Приложение 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СЦЕНАРИЙ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  <w:u w:val="single"/>
        </w:rPr>
        <w:t xml:space="preserve">Оборудование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: компьютер, проектор, раздаточный материал (приложение)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  <w:u w:val="single"/>
        </w:rPr>
        <w:t xml:space="preserve">Участники: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Ход мероприятия: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7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Организационный момент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  <w:u w:val="single"/>
        </w:rPr>
        <w:t xml:space="preserve">Подготовка к игре: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 ученикам предлагается на входе в кабинет взять из коробки жетон. Далее ученики проходят к парте и им предлагается из предложенных букв составить слово (Приложение 2. Слово “Страх”).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Учитель: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8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С чем ассоциируется у вас это слово? (Примерные ответы детей: пожар, смерть, наводнение и т.д.)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19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Что нужно сделать чтобы это чувство возникало реже, чтобы чувствовать себя уверенно и спокойно, защищенно? (ответы детей)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0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Да, действительно, застраховаться.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Первая ассоциация, возникающая при слове «страхование» не слишком приятна — страх. Однако верно ли утверждение, что слово «страхование» произошло от слова «страх»? В старину говорили: «принять на страх» , «отдать на страх» , подразумевая глагол «застрахова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ть». Выражение «принять на свой страх» означает ручаться, быть порукою, взять под свою ответственность. Это выражение точно описывает смысл страхования - страховая компания за вознаграждение берет на себя обязательства, ручается за то, что при наступлении 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оговоренного в полисе события (страхового случая) выплатит клиенту компенсацию за понесенные им в результате этого события убытки. Поэтому слово «страхование» , хотя и содержит в своем корне слово «страх» , по сути, происходит скорее от слов «обязательство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» и «ответственность».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Наш квест посвящен теме “Страхование”, эта тема очень важна сегодня, т.к. опасные и рискованные ситуации подстерегают нас постоянно. В результате работы над квестом, на каждом этапе вам будут даваться фрагменты страницы, с советом из которых мы сложим Книг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 советов “Будь подкован в страховании”.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Сейчас мы вас попросим сформировать группы по цвету жетона, который вы выбрали при входе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Учащиеся формируют команды. Каждая группа получает маршрутный лист с очередностью этапов прохождения квеста ( Приложение 3. Маршрутный лист)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Команды расходятся по этапам.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1 этап. Страховые риски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Учитель: Вы пришли на первый этап, чтобы узнать о чем пойдет речь, предлагаю вам разгадать ребус (Приложение 4. Ребус)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90875" cy="7715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50803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190874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51.2pt;height:60.8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Учитель: Молодцы! Потребность в страховании обусловлена существованием рисков.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Но не все риски можно застраховать. Давайте вспомним основные признаки страхового риска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11811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71810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34049" cy="1181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1.5pt;height:93.0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Учитель:Сейчас вы должны за 3 минуты решить предложенные задачи и определить, какие риски относятся или не относятся к страховым, и объяснить, почему (Приложение 5).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Справились, молодцы. Ученики получают первый фрагмент страницы с советом.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2 Этап. Участники страхования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Вам предлагается решить кроссворд, и вспомнить участников страхования (Приложение 6).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Выполнив задание, учащиеся получают второй фрагмент страницы совета.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3 Этап. Участники страхования в ситуациях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Учащимся предлагается определить участников страховых отношений в различных ситуациях (Приложение 7). Учащиеся получают третий фрагмент совета.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4 этап. Системы страхования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Учитель: Вспомните какие системы страхования применяют: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*система пропорциональной ответственности;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система первого риска;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• система предельной ответственности.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Учитель: Вам необходимо решить задачу и определить размер страховой премии.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(Приложение 8). Учащиеся получают итоговый фрагмент.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5 этап.</w:t>
      </w: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 Завершающий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Команды, которые закончили квест, склеивают свои фрагменты и вставляют их в Книгу советов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Рефлексия. </w:t>
      </w: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 ходе выполнения заданий квеста мы получили советы по страхованию, давайте зачитаем, что у нас получилось: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1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Четко определи, что ты хочешь защитить и от чего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2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Уточни в договоре все непонятные термины и условия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3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Не гонись за дешивизной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4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Посмотри рейтинг страховщиков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5"/>
        </w:numPr>
        <w:ind w:right="0"/>
        <w:jc w:val="both"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Фиксируй обстоятельства страхового случая, собирай доказательства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 w:line="360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Надеемся, что советы, которые получились пригодятся вам в дальнейшем. А сейчас попросим вас выразить свое отношению к квесту. У вас остались жетоны, опустите жетон в ту коробку с надписью, которая в большей степени отражает ваше отношение к игре.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afterAutospacing="0"/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sz w:val="28"/>
          <w:szCs w:val="28"/>
        </w:rPr>
        <w:br w:type="page" w:clear="all"/>
      </w:r>
      <w:r>
        <w:rPr>
          <w:rFonts w:ascii="Times New Roman" w:hAnsi="Times New Roman" w:eastAsia="Open Sans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Приложение 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i/>
          <w:color w:val="000000"/>
          <w:sz w:val="28"/>
          <w:szCs w:val="28"/>
        </w:rPr>
        <w:t xml:space="preserve">С Т Р А Х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Приложение 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57875" cy="14192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90844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857875" cy="141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1.2pt;height:111.8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Open Sans" w:cs="Times New Roman"/>
          <w:b/>
          <w:color w:val="000000"/>
          <w:sz w:val="28"/>
          <w:szCs w:val="28"/>
          <w:highlight w:val="none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eastAsia="Open Sans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Приложение 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6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Куплена новая машина - она может быть угнана или повреждена при аварии.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7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У человека в собственности есть дом, находящийся в аварийном состоянии, который может быть разрушен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8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Ребенку купили новые варежки, которые он может потерять на прогулке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29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Сотрудник уволился с работы по собственному желанию и потерял источник дохода.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afterAutospacing="0"/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sz w:val="28"/>
          <w:szCs w:val="28"/>
        </w:rPr>
        <w:br w:type="page" w:clear="all"/>
      </w:r>
      <w:r>
        <w:rPr>
          <w:rFonts w:ascii="Times New Roman" w:hAnsi="Times New Roman" w:eastAsia="Open Sans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Приложение 6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47"/>
        <w:tblW w:w="0" w:type="auto"/>
        <w:tblInd w:w="-992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5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57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Вопросы: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30"/>
        </w:numPr>
        <w:ind w:right="0"/>
        <w:jc w:val="both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физическое или юридическое лицо, которому по условиям страхования предоставлено право на получение страхового возмещения.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31"/>
        </w:numPr>
        <w:ind w:right="0"/>
        <w:jc w:val="both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6. физическое или юридическое лицо, которое от имени и по поручению страховой компании занимается продажей страховых полисов, т.е. заключает и возобновляет договоры страхования.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32"/>
        </w:numPr>
        <w:ind w:right="0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это физическое лицо, жизнь, здоровье, трудоспособность которого являются объектами страховой защиты.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33"/>
        </w:numPr>
        <w:ind w:right="0"/>
        <w:jc w:val="both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организация, имеющая лицензию, принимающая на себя за определенную плату материальные последствия риска страхователя.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02"/>
        <w:numPr>
          <w:ilvl w:val="0"/>
          <w:numId w:val="34"/>
        </w:numPr>
        <w:ind w:right="0"/>
        <w:jc w:val="both"/>
        <w:spacing w:before="0" w:after="0" w:afterAutospacing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какую роль играет Центральный Банк РФ в системе страхования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7. физическое или юридическое лицо, уплачивающее страховые взносы и вступающее в конкретные страховые отношения с передачей риска страховщику.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Open Sans" w:cs="Times New Roman"/>
          <w:sz w:val="28"/>
          <w:szCs w:val="28"/>
        </w:rPr>
        <w:br w:type="page" w:clear="all"/>
      </w: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Правильные ответы: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47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120"/>
        <w:gridCol w:w="372"/>
        <w:gridCol w:w="264"/>
        <w:gridCol w:w="276"/>
        <w:gridCol w:w="264"/>
        <w:gridCol w:w="276"/>
        <w:gridCol w:w="276"/>
        <w:gridCol w:w="264"/>
        <w:gridCol w:w="396"/>
        <w:gridCol w:w="408"/>
        <w:gridCol w:w="264"/>
        <w:gridCol w:w="396"/>
        <w:gridCol w:w="312"/>
        <w:gridCol w:w="264"/>
        <w:gridCol w:w="468"/>
        <w:gridCol w:w="276"/>
        <w:gridCol w:w="276"/>
        <w:gridCol w:w="276"/>
        <w:gridCol w:w="408"/>
        <w:gridCol w:w="276"/>
        <w:gridCol w:w="276"/>
        <w:gridCol w:w="276"/>
        <w:gridCol w:w="276"/>
        <w:gridCol w:w="264"/>
        <w:gridCol w:w="420"/>
        <w:gridCol w:w="264"/>
        <w:gridCol w:w="264"/>
        <w:gridCol w:w="276"/>
        <w:gridCol w:w="288"/>
        <w:gridCol w:w="288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6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г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с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г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у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1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7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с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х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1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с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х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с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b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101" w:type="dxa"/>
              <w:right w:w="101" w:type="dxa"/>
              <w:bottom w:w="101" w:type="dxa"/>
            </w:tcMar>
            <w:tcW w:w="39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31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г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б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0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8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333333" w:sz="8" w:space="0"/>
              <w:left w:val="none" w:color="000000" w:sz="4" w:space="0"/>
              <w:bottom w:val="single" w:color="333333" w:sz="8" w:space="0"/>
              <w:right w:val="single" w:color="333333" w:sz="8" w:space="0"/>
            </w:tcBorders>
            <w:tcMar>
              <w:left w:w="0" w:type="dxa"/>
              <w:top w:w="101" w:type="dxa"/>
              <w:right w:w="101" w:type="dxa"/>
              <w:bottom w:w="101" w:type="dxa"/>
            </w:tcMar>
            <w:tcW w:w="28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щ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х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х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6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6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6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6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2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6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0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9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6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tcMar>
              <w:left w:w="101" w:type="dxa"/>
              <w:top w:w="0" w:type="dxa"/>
              <w:right w:w="101" w:type="dxa"/>
              <w:bottom w:w="101" w:type="dxa"/>
            </w:tcMar>
            <w:tcW w:w="40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afterAutospacing="0"/>
              <w:rPr>
                <w:rFonts w:ascii="Times New Roman" w:hAnsi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Open Sans" w:cs="Times New Roman"/>
                <w:color w:val="000000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20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4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6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8" w:type="dxa"/>
            <w:vAlign w:val="top"/>
            <w:textDirection w:val="lrTb"/>
            <w:noWrap w:val="false"/>
          </w:tcPr>
          <w:p>
            <w:pPr>
              <w:spacing w:before="0" w:after="0" w:afterAutospacing="0" w:line="57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spacing w:after="0" w:afterAutospacing="0"/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sz w:val="28"/>
          <w:szCs w:val="28"/>
        </w:rPr>
        <w:br w:type="page" w:clear="all"/>
      </w:r>
      <w:r>
        <w:rPr>
          <w:rFonts w:ascii="Times New Roman" w:hAnsi="Times New Roman" w:eastAsia="Open Sans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Приложение 7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1. Анна Петрова застраховала себя от несчастного случая в компании «Согласие».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2. Андрей Смирнов работает в компании ООО «Вариант», где ему оплачивают полис добровольного медицинского страхования в страховой компании «Гарантия».Он обратился в клинику «Дента-Стиль» за стоматологической услугой по страховке.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3. Владимир Карпов оформил своей дочери Лене страховку к совершеннолетию на 300 тыс. руб. в компании «Флагман».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4. Катя Фролова купила автомобиль в кредит и застраховала машину в пользу Банка «Южный», выдавшего кредит на эту покупку, в компании «Страховой дом».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Open Sans" w:cs="Times New Roman"/>
          <w:b/>
          <w:color w:val="000000"/>
          <w:sz w:val="28"/>
          <w:szCs w:val="28"/>
          <w:highlight w:val="none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eastAsia="Open Sans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Приложение 8.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Имущество стоимостью 800 000 руб. застраховано на 700 000 руб. по системе первого риска. Страховой тариф – 5%, безусловная франшиза – 3 000 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В результате страхового случая ущерб составил 600 000 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/>
          <w:sz w:val="28"/>
          <w:szCs w:val="28"/>
        </w:rPr>
        <w:t xml:space="preserve">Определить размер страховой премии и страхового возмещения.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br/>
        <w:br/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afterAutospacing="0"/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Open Sans" w:cs="Times New Roman"/>
          <w:b/>
          <w:color w:val="000000"/>
          <w:sz w:val="28"/>
          <w:szCs w:val="28"/>
          <w:highlight w:val="none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/>
          <w:sz w:val="28"/>
          <w:szCs w:val="28"/>
        </w:rPr>
        <w:t xml:space="preserve">Приложение 9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right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71750" cy="189547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12243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571750" cy="1895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02.5pt;height:149.2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3152775" cy="217170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72328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152774" cy="217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48.2pt;height:171.0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2695575" cy="182880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62302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695574" cy="182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12.2pt;height:144.0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1244576</wp:posOffset>
                </wp:positionV>
                <wp:extent cx="2286000" cy="3105150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120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286000" cy="3105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12288;o:allowoverlap:true;o:allowincell:true;mso-position-horizontal-relative:text;margin-left:287.8pt;mso-position-horizontal:absolute;mso-position-vertical-relative:text;margin-top:98.0pt;mso-position-vertical:absolute;width:180.0pt;height:244.5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43225" cy="155257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3279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943224" cy="1552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1.8pt;height:122.2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0" w:afterAutospacing="0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Wingdings">
    <w:panose1 w:val="05000000000000000000"/>
  </w:font>
  <w:font w:name="Courier New">
    <w:panose1 w:val="02070309020205020404"/>
  </w:font>
  <w:font w:name="Garamond">
    <w:panose1 w:val="02020603050405020304"/>
  </w:font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Garamond" w:hAnsi="Garamond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  <w:style w:type="paragraph" w:styleId="1_14086" w:customStyle="1">
    <w:name w:val="Normal (Web)"/>
    <w:basedOn w:val="676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2023-01-26T11:01:34Z</dcterms:modified>
</cp:coreProperties>
</file>